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  <w:t xml:space="preserve">ТЕХНИЧЕСКИЕ ТРЕБОВАНИЯ НА ПРОВЕДЕНИЕ ЗАКУПКИ </w:t>
      </w:r>
    </w:p>
    <w:p>
      <w:pPr>
        <w:pStyle w:val="Normal"/>
        <w:spacing w:before="240" w:after="0"/>
        <w:ind w:left="426" w:right="0" w:hanging="0"/>
        <w:rPr/>
      </w:pPr>
      <w:r>
        <w:rPr>
          <w:b/>
          <w:sz w:val="24"/>
          <w:szCs w:val="24"/>
        </w:rPr>
        <w:t xml:space="preserve">1. Наименование продукции: </w:t>
      </w:r>
      <w:r>
        <w:rPr>
          <w:rFonts w:eastAsia="Calibri" w:ascii="Liberation Serif;serif" w:hAnsi="Liberation Serif;serif"/>
          <w:b/>
          <w:bCs/>
          <w:i/>
          <w:iCs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eastAsia="en-US"/>
        </w:rPr>
        <w:t xml:space="preserve">ОКПД2 42.22.12.110 Выполнение </w:t>
      </w:r>
      <w:r>
        <w:rPr>
          <w:rStyle w:val="Hend2"/>
          <w:rFonts w:eastAsia="Calibri" w:cs="Times New Roman" w:ascii="Liberation Serif" w:hAnsi="Liberation Serif"/>
          <w:b/>
          <w:bCs/>
          <w:i/>
          <w:iCs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ru-RU" w:eastAsia="ru-RU" w:bidi="ar-SA"/>
        </w:rPr>
        <w:t>проектных, строительно-монтажных работ для технологического присоединения к электрическим сетям заявителей ООО "Машиностроительный комплекс "Дальневосточный"; ООО "Дулов Девелопментс Владивосток"; ООО "Платформа" ; ООО "Рента"; ООО "Электротехническая корпорация" ; ООО"Специализированный застройщик "А-1"; ООО "Вилор"; Плотникова Наталья Анатольевна (P_25-ПЭС-5915 ТП НС; Q_25-ПЭС-6117 ТП НС; Q_25-ПЭС-6124 ТП НС) в Надеждинском р-не, Приморского края» (Лот № 309601-КС ПИР СМР-2026-ДРСК-ПЭС).</w:t>
      </w:r>
    </w:p>
    <w:p>
      <w:pPr>
        <w:pStyle w:val="Normal"/>
        <w:spacing w:before="240" w:after="0"/>
        <w:ind w:left="426" w:right="0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2. ТРЕБОВАНИЯ К ПРОДУКЦИИ</w:t>
      </w:r>
    </w:p>
    <w:p>
      <w:pPr>
        <w:pStyle w:val="Normal"/>
        <w:spacing w:before="240" w:after="0"/>
        <w:ind w:left="426" w:right="0" w:hanging="0"/>
        <w:rPr>
          <w:b/>
          <w:b/>
          <w:i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2.1 Требования к объёмам и срокам поставки продукции</w:t>
      </w:r>
    </w:p>
    <w:p>
      <w:pPr>
        <w:pStyle w:val="2"/>
        <w:keepNext w:val="false"/>
        <w:spacing w:before="280" w:after="280"/>
        <w:ind w:left="426" w:right="0" w:hanging="0"/>
        <w:rPr>
          <w:sz w:val="24"/>
          <w:szCs w:val="24"/>
        </w:rPr>
      </w:pPr>
      <w:r>
        <w:rPr>
          <w:sz w:val="24"/>
          <w:szCs w:val="24"/>
        </w:rPr>
        <w:t>2.1.1 ПЕРЕЧЕНЬ И ОБЪЁМ ПРОДУКЦИИ</w:t>
      </w:r>
    </w:p>
    <w:p>
      <w:pPr>
        <w:pStyle w:val="Normal"/>
        <w:ind w:left="426" w:right="0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Таблица 1.1 Спецификация для филиала «Приморские электрические сети»</w:t>
      </w:r>
    </w:p>
    <w:tbl>
      <w:tblPr>
        <w:tblW w:w="15872" w:type="dxa"/>
        <w:jc w:val="center"/>
        <w:tblInd w:w="0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674"/>
        <w:gridCol w:w="8109"/>
        <w:gridCol w:w="710"/>
        <w:gridCol w:w="849"/>
        <w:gridCol w:w="1"/>
        <w:gridCol w:w="4111"/>
        <w:gridCol w:w="703"/>
        <w:gridCol w:w="714"/>
      </w:tblGrid>
      <w:tr>
        <w:trPr>
          <w:trHeight w:val="271" w:hRule="atLeast"/>
        </w:trPr>
        <w:tc>
          <w:tcPr>
            <w:tcW w:w="6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966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Заказчика</w:t>
            </w:r>
          </w:p>
        </w:tc>
        <w:tc>
          <w:tcPr>
            <w:tcW w:w="552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Предложение Участника</w:t>
            </w:r>
          </w:p>
        </w:tc>
      </w:tr>
      <w:tr>
        <w:trPr>
          <w:trHeight w:val="490" w:hRule="atLeast"/>
        </w:trPr>
        <w:tc>
          <w:tcPr>
            <w:tcW w:w="67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8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Наименование, марка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Ед.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измер.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Кол-во.</w:t>
            </w:r>
          </w:p>
        </w:tc>
        <w:tc>
          <w:tcPr>
            <w:tcW w:w="411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Наименование, марка</w:t>
            </w:r>
          </w:p>
        </w:tc>
        <w:tc>
          <w:tcPr>
            <w:tcW w:w="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Ед.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измер.</w:t>
            </w:r>
          </w:p>
        </w:tc>
        <w:tc>
          <w:tcPr>
            <w:tcW w:w="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Кол-во.</w:t>
            </w:r>
          </w:p>
        </w:tc>
      </w:tr>
      <w:tr>
        <w:trPr>
          <w:trHeight w:val="205" w:hRule="atLeast"/>
        </w:trPr>
        <w:tc>
          <w:tcPr>
            <w:tcW w:w="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учета укомплектованный тремя трансформаторами тока Т-0,66-</w:t>
            </w: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0/5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Сборка согласно техническим требованиям и Приложению № 1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1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rPr>
                <w:i/>
                <w:i/>
                <w:iCs/>
                <w:color w:val="808080"/>
                <w:sz w:val="24"/>
                <w:szCs w:val="24"/>
              </w:rPr>
            </w:pPr>
            <w:r>
              <w:rPr>
                <w:i/>
                <w:iCs/>
                <w:color w:val="808080"/>
                <w:sz w:val="24"/>
                <w:szCs w:val="24"/>
              </w:rPr>
              <w:t>Способ подтверждения: указание наименования продукции</w:t>
            </w:r>
          </w:p>
        </w:tc>
        <w:tc>
          <w:tcPr>
            <w:tcW w:w="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88" w:hRule="atLeast"/>
        </w:trPr>
        <w:tc>
          <w:tcPr>
            <w:tcW w:w="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учета укомплектованный тремя трансформаторами тока Т-0,66-300/5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Сборка согласно техническим требованиям и Приложению № 2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1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rPr>
                <w:i/>
                <w:i/>
                <w:iCs/>
                <w:color w:val="808080"/>
                <w:sz w:val="24"/>
                <w:szCs w:val="24"/>
              </w:rPr>
            </w:pPr>
            <w:r>
              <w:rPr>
                <w:i/>
                <w:iCs/>
                <w:color w:val="808080"/>
                <w:sz w:val="24"/>
                <w:szCs w:val="24"/>
              </w:rPr>
              <w:t>Способ подтверждения: указание наименования продукции</w:t>
            </w:r>
          </w:p>
        </w:tc>
        <w:tc>
          <w:tcPr>
            <w:tcW w:w="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ind w:left="426" w:right="0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uppressAutoHyphens w:val="true"/>
        <w:spacing w:before="120" w:after="120"/>
        <w:ind w:left="567" w:right="-142" w:hanging="0"/>
        <w:rPr>
          <w:b/>
          <w:b/>
          <w:i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2.2. Требования к качеству продукции </w:t>
      </w:r>
    </w:p>
    <w:p>
      <w:pPr>
        <w:pStyle w:val="Normal"/>
        <w:suppressAutoHyphens w:val="true"/>
        <w:spacing w:before="120" w:after="120"/>
        <w:ind w:left="567" w:right="-142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Таблица 3 Требования к продукции</w:t>
      </w:r>
    </w:p>
    <w:tbl>
      <w:tblPr>
        <w:tblW w:w="15868" w:type="dxa"/>
        <w:jc w:val="left"/>
        <w:tblInd w:w="55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899"/>
        <w:gridCol w:w="2447"/>
        <w:gridCol w:w="4895"/>
        <w:gridCol w:w="2747"/>
        <w:gridCol w:w="2796"/>
        <w:gridCol w:w="2083"/>
      </w:tblGrid>
      <w:tr>
        <w:trPr>
          <w:trHeight w:val="201" w:hRule="atLeast"/>
        </w:trPr>
        <w:tc>
          <w:tcPr>
            <w:tcW w:w="89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176" w:right="144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4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31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489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172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Заказчика</w:t>
            </w:r>
          </w:p>
        </w:tc>
        <w:tc>
          <w:tcPr>
            <w:tcW w:w="55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ind w:left="567" w:right="-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08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before="120" w:after="120"/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>
        <w:trPr>
          <w:trHeight w:val="300" w:hRule="atLeast"/>
        </w:trPr>
        <w:tc>
          <w:tcPr>
            <w:tcW w:w="89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4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89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ind w:left="0" w:right="8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требованием/Указание характеристик</w:t>
            </w:r>
          </w:p>
        </w:tc>
        <w:tc>
          <w:tcPr>
            <w:tcW w:w="2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ind w:left="0" w:right="-142" w:hanging="0"/>
              <w:jc w:val="center"/>
              <w:rPr/>
            </w:pPr>
            <w:r>
              <w:rPr>
                <w:sz w:val="24"/>
                <w:szCs w:val="24"/>
              </w:rPr>
              <w:t>Предоставление подтверждающего документа</w:t>
            </w:r>
            <w:r>
              <w:rPr>
                <w:rStyle w:val="Style10"/>
                <w:sz w:val="24"/>
                <w:szCs w:val="24"/>
              </w:rPr>
              <w:footnoteReference w:id="2"/>
            </w:r>
          </w:p>
        </w:tc>
        <w:tc>
          <w:tcPr>
            <w:tcW w:w="208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496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ind w:left="0" w:right="-142" w:hanging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 (включая гарантируемые показатели)</w:t>
            </w:r>
          </w:p>
        </w:tc>
      </w:tr>
      <w:tr>
        <w:trPr>
          <w:trHeight w:val="300" w:hRule="atLeast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4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0"/>
              <w:ind w:left="0" w:right="74" w:hanging="0"/>
              <w:rPr/>
            </w:pPr>
            <w:r>
              <w:rPr>
                <w:color w:val="000000"/>
                <w:sz w:val="24"/>
                <w:szCs w:val="24"/>
              </w:rPr>
              <w:t>Не менее 60 (шестидесяти) месяцев. Время начала исчисления гарантийного срока с момента подписания ТОРГ-12 или УПД.</w:t>
            </w:r>
            <w:r>
              <w:rPr/>
              <w:t xml:space="preserve"> </w:t>
            </w:r>
            <w:r>
              <w:rPr>
                <w:color w:val="000000"/>
                <w:sz w:val="24"/>
                <w:szCs w:val="24"/>
              </w:rPr>
              <w:t>гарантия на защиту от коррозии, при отсутствии механических повреждений, не менее 120 месяцев с даты подписания накладной ТОРГ-12 или УПД. Установленный в отношении Товара гарантийный срок распространяется на все составные части и комплектующие Товара.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39" w:hanging="0"/>
              <w:jc w:val="center"/>
              <w:rPr>
                <w:i/>
                <w:i/>
                <w:iCs/>
                <w:color w:val="808080"/>
                <w:sz w:val="24"/>
                <w:szCs w:val="24"/>
              </w:rPr>
            </w:pPr>
            <w:r>
              <w:rPr>
                <w:i/>
                <w:iCs/>
                <w:color w:val="808080"/>
                <w:sz w:val="24"/>
                <w:szCs w:val="24"/>
              </w:rPr>
              <w:t>Согласие с требованием</w:t>
            </w:r>
          </w:p>
        </w:tc>
        <w:tc>
          <w:tcPr>
            <w:tcW w:w="2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1166" w:hRule="atLeast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2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сроку изготовления закупаемого оборудования</w:t>
            </w:r>
          </w:p>
        </w:tc>
        <w:tc>
          <w:tcPr>
            <w:tcW w:w="4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0"/>
              <w:ind w:left="0" w:right="74" w:hang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Оборудование должно быть новым 2026-2027 гг. выпуска, не бывшим в употреблении, пригодным для использования по своему назначению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39" w:hanging="0"/>
              <w:jc w:val="center"/>
              <w:rPr>
                <w:i/>
                <w:i/>
                <w:iCs/>
                <w:color w:val="808080"/>
                <w:sz w:val="24"/>
                <w:szCs w:val="24"/>
              </w:rPr>
            </w:pPr>
            <w:r>
              <w:rPr>
                <w:i/>
                <w:iCs/>
                <w:color w:val="808080"/>
                <w:sz w:val="24"/>
                <w:szCs w:val="24"/>
              </w:rPr>
              <w:t>Согласие с требованием</w:t>
            </w:r>
          </w:p>
        </w:tc>
        <w:tc>
          <w:tcPr>
            <w:tcW w:w="2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1376" w:hRule="atLeast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2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0"/>
              <w:ind w:left="0" w:right="74" w:hang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Средства измерения должны иметь действующее на момент поставки свидетельство об утверждении типа. Поверка средств измерения должна быть не ранее 3 квартала 2026 года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39" w:hanging="0"/>
              <w:jc w:val="center"/>
              <w:rPr>
                <w:i/>
                <w:i/>
                <w:iCs/>
                <w:color w:val="808080"/>
                <w:sz w:val="24"/>
                <w:szCs w:val="24"/>
              </w:rPr>
            </w:pPr>
            <w:r>
              <w:rPr>
                <w:i/>
                <w:iCs/>
                <w:color w:val="808080"/>
                <w:sz w:val="24"/>
                <w:szCs w:val="24"/>
              </w:rPr>
              <w:t>Согласие с требованием</w:t>
            </w:r>
          </w:p>
        </w:tc>
        <w:tc>
          <w:tcPr>
            <w:tcW w:w="2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1175" w:hRule="atLeast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2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0"/>
              <w:ind w:left="0" w:right="74" w:hang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Продукция должна быть совместима с программным комплексом «Пирамида 2.0» в модуле АИИС КУЭ облачной платформы энергоданных ПАО «РусГидро».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39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rPr>
                <w:bCs/>
                <w:i/>
                <w:i/>
                <w:iCs/>
                <w:color w:val="808080"/>
                <w:sz w:val="24"/>
                <w:szCs w:val="24"/>
              </w:rPr>
            </w:pPr>
            <w:r>
              <w:rPr>
                <w:bCs/>
                <w:i/>
                <w:iCs/>
                <w:color w:val="808080"/>
                <w:sz w:val="24"/>
                <w:szCs w:val="24"/>
              </w:rPr>
              <w:t>Подтвердить гарантийным письмом выполнение требования</w:t>
            </w:r>
          </w:p>
        </w:tc>
        <w:tc>
          <w:tcPr>
            <w:tcW w:w="2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2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4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приборах учета электроэнергии должны быть нанесены логотипы согласно Приложению 5к ТТ и QR коды согласно Приложению 6к ТТ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i/>
                <w:i/>
                <w:iCs/>
                <w:color w:val="808080"/>
                <w:sz w:val="24"/>
                <w:szCs w:val="24"/>
              </w:rPr>
            </w:pPr>
            <w:r>
              <w:rPr>
                <w:i/>
                <w:iCs/>
                <w:color w:val="808080"/>
                <w:sz w:val="24"/>
                <w:szCs w:val="24"/>
              </w:rPr>
              <w:t>Согласие с</w:t>
            </w:r>
          </w:p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i/>
                <w:i/>
                <w:iCs/>
                <w:color w:val="808080"/>
                <w:sz w:val="24"/>
                <w:szCs w:val="24"/>
              </w:rPr>
            </w:pPr>
            <w:r>
              <w:rPr>
                <w:i/>
                <w:iCs/>
                <w:color w:val="808080"/>
                <w:sz w:val="24"/>
                <w:szCs w:val="24"/>
              </w:rPr>
              <w:t>требованием</w:t>
            </w:r>
          </w:p>
        </w:tc>
        <w:tc>
          <w:tcPr>
            <w:tcW w:w="2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ind w:left="0" w:right="0" w:firstLine="33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2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4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продукции должно быть установлено время в соответствии с временной зоной поставки. Соответствующая запись должна быть внесена в паспорт продукции.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i/>
                <w:i/>
                <w:iCs/>
                <w:color w:val="808080"/>
                <w:sz w:val="24"/>
                <w:szCs w:val="24"/>
              </w:rPr>
            </w:pPr>
            <w:r>
              <w:rPr>
                <w:i/>
                <w:iCs/>
                <w:color w:val="808080"/>
                <w:sz w:val="24"/>
                <w:szCs w:val="24"/>
              </w:rPr>
              <w:t>Согласие с</w:t>
            </w:r>
          </w:p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i/>
                <w:i/>
                <w:iCs/>
                <w:color w:val="808080"/>
                <w:sz w:val="24"/>
                <w:szCs w:val="24"/>
              </w:rPr>
            </w:pPr>
            <w:r>
              <w:rPr>
                <w:i/>
                <w:iCs/>
                <w:color w:val="808080"/>
                <w:sz w:val="24"/>
                <w:szCs w:val="24"/>
              </w:rPr>
              <w:t>требованием</w:t>
            </w:r>
          </w:p>
        </w:tc>
        <w:tc>
          <w:tcPr>
            <w:tcW w:w="2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ind w:left="0" w:right="0" w:firstLine="33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2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4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Оборудование должно соответствовать техническим параметрам, указанным в Приложениях №1-4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ind w:left="0" w:right="0" w:firstLine="33"/>
              <w:jc w:val="both"/>
              <w:rPr>
                <w:bCs/>
                <w:i/>
                <w:i/>
                <w:iCs/>
                <w:color w:val="808080"/>
                <w:sz w:val="24"/>
                <w:szCs w:val="24"/>
              </w:rPr>
            </w:pPr>
            <w:r>
              <w:rPr>
                <w:bCs/>
                <w:i/>
                <w:iCs/>
                <w:color w:val="808080"/>
                <w:sz w:val="24"/>
                <w:szCs w:val="24"/>
              </w:rPr>
              <w:t>Представить заполненные карты заказа (опросные листы) согласно техническим параметрам Приложений №1.1-1.13 к Техническому предложению</w:t>
            </w:r>
          </w:p>
        </w:tc>
        <w:tc>
          <w:tcPr>
            <w:tcW w:w="2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2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4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Продукция должна соответствовать требованиям разделов два и три «Правил предоставления доступа к минимальному набору функций интеллектуальных систем учета электрической энергии (мощности)», которые утверждены постановлением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(мощности)».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i/>
                <w:i/>
                <w:iCs/>
                <w:color w:val="808080"/>
                <w:sz w:val="24"/>
                <w:szCs w:val="24"/>
              </w:rPr>
            </w:pPr>
            <w:r>
              <w:rPr>
                <w:i/>
                <w:iCs/>
                <w:color w:val="808080"/>
                <w:sz w:val="24"/>
                <w:szCs w:val="24"/>
              </w:rPr>
              <w:t>Согласие</w:t>
            </w:r>
          </w:p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i/>
                <w:i/>
                <w:iCs/>
                <w:color w:val="808080"/>
                <w:sz w:val="24"/>
                <w:szCs w:val="24"/>
              </w:rPr>
            </w:pPr>
            <w:r>
              <w:rPr>
                <w:i/>
                <w:iCs/>
                <w:color w:val="808080"/>
                <w:sz w:val="24"/>
                <w:szCs w:val="24"/>
              </w:rPr>
              <w:t>с требованием</w:t>
            </w:r>
          </w:p>
        </w:tc>
        <w:tc>
          <w:tcPr>
            <w:tcW w:w="2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ind w:left="0" w:right="0" w:firstLine="33"/>
              <w:jc w:val="both"/>
              <w:rPr>
                <w:bCs/>
                <w:i/>
                <w:i/>
                <w:iCs/>
                <w:color w:val="808080"/>
                <w:sz w:val="24"/>
                <w:szCs w:val="24"/>
              </w:rPr>
            </w:pPr>
            <w:r>
              <w:rPr>
                <w:bCs/>
                <w:i/>
                <w:iCs/>
                <w:color w:val="808080"/>
                <w:sz w:val="24"/>
                <w:szCs w:val="24"/>
              </w:rPr>
              <w:t>Предоставить в составе заявки письмо от завода-изготовителя оборудования, подтверждающие требуемые технические характеристики.</w:t>
            </w:r>
          </w:p>
        </w:tc>
        <w:tc>
          <w:tcPr>
            <w:tcW w:w="2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152" w:hRule="atLeast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ind w:left="0" w:right="-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496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ind w:left="0" w:right="-142" w:hanging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Требование к безопасности</w:t>
            </w:r>
          </w:p>
        </w:tc>
      </w:tr>
      <w:tr>
        <w:trPr>
          <w:trHeight w:val="300" w:hRule="atLeast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2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4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ind w:left="0" w:right="-33" w:hang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Оборудование должно соответствовать требованиям безопасности п.3 ГОСТ 12.2.007.0-75 «Система стандартов безопасности труда. Изделия электротехнические. Общие требования безопасности».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39" w:hanging="0"/>
              <w:jc w:val="center"/>
              <w:rPr>
                <w:i/>
                <w:i/>
                <w:iCs/>
                <w:color w:val="808080"/>
                <w:sz w:val="24"/>
                <w:szCs w:val="24"/>
              </w:rPr>
            </w:pPr>
            <w:r>
              <w:rPr>
                <w:i/>
                <w:iCs/>
                <w:color w:val="808080"/>
                <w:sz w:val="24"/>
                <w:szCs w:val="24"/>
              </w:rPr>
              <w:t>Способ подтверждения: указание ГОСТа</w:t>
            </w:r>
          </w:p>
        </w:tc>
        <w:tc>
          <w:tcPr>
            <w:tcW w:w="2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ind w:left="0" w:right="-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96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ind w:left="0" w:right="-142" w:hanging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</w:tr>
      <w:tr>
        <w:trPr>
          <w:trHeight w:val="300" w:hRule="atLeast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2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4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ind w:left="0" w:right="141" w:hanging="0"/>
              <w:rPr/>
            </w:pPr>
            <w:r>
              <w:rPr>
                <w:bCs/>
                <w:sz w:val="24"/>
                <w:szCs w:val="24"/>
              </w:rPr>
              <w:t xml:space="preserve">Степень защиты, обеспечиваемая оболочкой устройства, по ГОСТ 14254-2015 должна соответствовать: не ниже </w:t>
            </w:r>
            <w:r>
              <w:rPr>
                <w:bCs/>
                <w:sz w:val="24"/>
                <w:szCs w:val="24"/>
                <w:lang w:val="en-US"/>
              </w:rPr>
              <w:t>IP</w:t>
            </w:r>
            <w:r>
              <w:rPr>
                <w:bCs/>
                <w:sz w:val="24"/>
                <w:szCs w:val="24"/>
              </w:rPr>
              <w:t>54.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i/>
                <w:i/>
                <w:iCs/>
                <w:color w:val="808080"/>
                <w:sz w:val="24"/>
                <w:szCs w:val="24"/>
              </w:rPr>
            </w:pPr>
            <w:r>
              <w:rPr>
                <w:i/>
                <w:iCs/>
                <w:color w:val="808080"/>
                <w:sz w:val="24"/>
                <w:szCs w:val="24"/>
              </w:rPr>
              <w:t>Способ подтверждения: указание ГОСТа</w:t>
            </w:r>
          </w:p>
        </w:tc>
        <w:tc>
          <w:tcPr>
            <w:tcW w:w="2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2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4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ind w:left="0" w:right="141" w:hang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Оборудование должно соответствовать по</w:t>
            </w:r>
          </w:p>
          <w:p>
            <w:pPr>
              <w:pStyle w:val="Normal"/>
              <w:widowControl w:val="false"/>
              <w:suppressAutoHyphens w:val="true"/>
              <w:ind w:left="0" w:right="141" w:hang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стойкости, прочности и устойчивости к воздействию механических факторов группе М7 по ГОСТ 17516.1.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39" w:hanging="0"/>
              <w:jc w:val="center"/>
              <w:rPr>
                <w:i/>
                <w:i/>
                <w:iCs/>
                <w:color w:val="808080"/>
                <w:sz w:val="24"/>
                <w:szCs w:val="24"/>
              </w:rPr>
            </w:pPr>
            <w:r>
              <w:rPr>
                <w:i/>
                <w:iCs/>
                <w:color w:val="808080"/>
                <w:sz w:val="24"/>
                <w:szCs w:val="24"/>
              </w:rPr>
              <w:t>Способ подтверждения: указание ГОСТа</w:t>
            </w:r>
          </w:p>
        </w:tc>
        <w:tc>
          <w:tcPr>
            <w:tcW w:w="2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ind w:left="0" w:right="-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96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ind w:left="0" w:right="-142" w:hanging="0"/>
              <w:rPr>
                <w:rFonts w:eastAsia="Calibri"/>
                <w:b/>
                <w:b/>
                <w:i/>
                <w:i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Требование к климатическому исполнению и стойкости к воздействующим климатическим факторам</w:t>
            </w:r>
          </w:p>
        </w:tc>
      </w:tr>
      <w:tr>
        <w:trPr>
          <w:trHeight w:val="300" w:hRule="atLeast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2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55" w:hanging="0"/>
              <w:jc w:val="center"/>
              <w:rPr/>
            </w:pPr>
            <w:r>
              <w:rPr>
                <w:sz w:val="24"/>
                <w:szCs w:val="24"/>
              </w:rPr>
              <w:t>Климатическое исполнение поставляемого  оборудования</w:t>
            </w:r>
          </w:p>
        </w:tc>
        <w:tc>
          <w:tcPr>
            <w:tcW w:w="4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ind w:left="0" w:right="-142" w:hanging="0"/>
              <w:rPr/>
            </w:pPr>
            <w:r>
              <w:rPr>
                <w:bCs/>
                <w:sz w:val="24"/>
                <w:szCs w:val="24"/>
              </w:rPr>
              <w:t>В части воздействия климатических факторов оборудование должно соответствовать исполнению не ниже У1 по ГОСТ 15150-69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39" w:hanging="0"/>
              <w:jc w:val="center"/>
              <w:rPr/>
            </w:pPr>
            <w:r>
              <w:rPr>
                <w:i/>
                <w:iCs/>
                <w:color w:val="808080"/>
                <w:sz w:val="24"/>
                <w:szCs w:val="24"/>
              </w:rPr>
              <w:t>Способ подтверждения: указание климатическое исполнение</w:t>
            </w:r>
          </w:p>
        </w:tc>
        <w:tc>
          <w:tcPr>
            <w:tcW w:w="2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ind w:left="0" w:right="-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496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ind w:left="0" w:right="-142" w:hanging="0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Требование к доставке</w:t>
            </w:r>
          </w:p>
        </w:tc>
      </w:tr>
      <w:tr>
        <w:trPr>
          <w:trHeight w:val="1459" w:hRule="atLeast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2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4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rPr/>
            </w:pPr>
            <w:r>
              <w:rPr>
                <w:bCs/>
                <w:sz w:val="23"/>
                <w:szCs w:val="23"/>
              </w:rPr>
              <w:t>при поставке ж/д транспортом</w:t>
            </w:r>
            <w:r>
              <w:rPr>
                <w:bCs/>
                <w:color w:val="000000"/>
                <w:sz w:val="23"/>
                <w:szCs w:val="23"/>
                <w:shd w:fill="81D41A" w:val="clear"/>
              </w:rPr>
              <w:t xml:space="preserve">: </w:t>
            </w:r>
            <w:r>
              <w:rPr>
                <w:rFonts w:ascii="Liberation Serif;serif" w:hAnsi="Liberation Serif;serif"/>
                <w:bCs/>
                <w:color w:val="000000"/>
                <w:sz w:val="23"/>
                <w:szCs w:val="23"/>
                <w:shd w:fill="81D41A" w:val="clear"/>
              </w:rPr>
              <w:t>У</w:t>
            </w:r>
            <w:r>
              <w:rPr>
                <w:rFonts w:ascii="Liberation Serif;serif" w:hAnsi="Liberation Serif;serif"/>
                <w:bCs/>
                <w:sz w:val="23"/>
                <w:szCs w:val="23"/>
                <w:shd w:fill="81D41A" w:val="clear"/>
              </w:rPr>
              <w:t>ссурийск, Дальневосточной ж.д., код станции – 988306</w:t>
            </w:r>
          </w:p>
          <w:p>
            <w:pPr>
              <w:pStyle w:val="Normal"/>
              <w:widowControl w:val="false"/>
              <w:rPr>
                <w:bCs/>
                <w:sz w:val="23"/>
                <w:szCs w:val="23"/>
                <w:shd w:fill="81D41A" w:val="clear"/>
              </w:rPr>
            </w:pPr>
            <w:r>
              <w:rPr>
                <w:bCs/>
                <w:sz w:val="23"/>
                <w:szCs w:val="23"/>
                <w:shd w:fill="81D41A" w:val="clear"/>
              </w:rPr>
            </w:r>
          </w:p>
          <w:p>
            <w:pPr>
              <w:pStyle w:val="Normal"/>
              <w:widowControl w:val="false"/>
              <w:rPr>
                <w:shd w:fill="81D41A" w:val="clear"/>
              </w:rPr>
            </w:pPr>
            <w:r>
              <w:rPr>
                <w:bCs/>
                <w:sz w:val="23"/>
                <w:szCs w:val="23"/>
                <w:shd w:fill="81D41A" w:val="clear"/>
              </w:rPr>
              <w:t>, при поставке транспортной компанией: 692524, Приморский край, г. Уссурийск, ул.</w:t>
            </w:r>
          </w:p>
          <w:p>
            <w:pPr>
              <w:pStyle w:val="Normal"/>
              <w:widowControl w:val="false"/>
              <w:rPr>
                <w:bCs/>
                <w:sz w:val="23"/>
                <w:szCs w:val="23"/>
                <w:shd w:fill="81D41A" w:val="clear"/>
              </w:rPr>
            </w:pPr>
            <w:r>
              <w:rPr>
                <w:bCs/>
                <w:sz w:val="23"/>
                <w:szCs w:val="23"/>
                <w:shd w:fill="81D41A" w:val="clear"/>
              </w:rPr>
              <w:t>Резервная 22А. (проезд ч/з улицу Ровная 22)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rPr>
                <w:i/>
                <w:i/>
                <w:iCs/>
                <w:color w:val="808080"/>
                <w:sz w:val="24"/>
                <w:szCs w:val="24"/>
              </w:rPr>
            </w:pPr>
            <w:r>
              <w:rPr>
                <w:i/>
                <w:iCs/>
                <w:color w:val="808080"/>
                <w:sz w:val="24"/>
                <w:szCs w:val="24"/>
              </w:rPr>
              <w:t>Способ подтверждения: согласие</w:t>
            </w:r>
          </w:p>
        </w:tc>
        <w:tc>
          <w:tcPr>
            <w:tcW w:w="2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0" w:right="-14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</w:tbl>
    <w:p>
      <w:pPr>
        <w:pStyle w:val="Normal"/>
        <w:suppressAutoHyphens w:val="true"/>
        <w:spacing w:before="120" w:after="120"/>
        <w:ind w:left="567" w:right="593" w:firstLine="142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uppressAutoHyphens w:val="true"/>
        <w:spacing w:before="120" w:after="120"/>
        <w:ind w:left="567" w:right="593" w:firstLine="142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3. ТРЕБОВАНИЯ К ДОКУМЕНТАЦИИ ПО ЦЕНООБРАЗОВАНИЮ НА ЭТАПЕ ЗАКУПКИ</w:t>
      </w:r>
    </w:p>
    <w:p>
      <w:pPr>
        <w:pStyle w:val="1"/>
        <w:keepNext w:val="true"/>
        <w:keepLines/>
        <w:suppressAutoHyphens w:val="false"/>
        <w:bidi w:val="0"/>
        <w:ind w:left="340" w:right="0" w:firstLine="340"/>
        <w:jc w:val="both"/>
        <w:rPr>
          <w:rFonts w:ascii="Times New Roman" w:hAnsi="Times New Roman" w:eastAsia="Calibri" w:cs="Times New Roman"/>
          <w:b w:val="false"/>
          <w:b w:val="false"/>
          <w:bCs w:val="false"/>
          <w:iCs/>
          <w:sz w:val="24"/>
          <w:szCs w:val="24"/>
          <w:lang w:val="x-none" w:eastAsia="x-none"/>
        </w:rPr>
      </w:pPr>
      <w:r>
        <w:rPr>
          <w:rFonts w:eastAsia="Calibri" w:cs="Times New Roman" w:ascii="Times New Roman" w:hAnsi="Times New Roman"/>
          <w:b w:val="false"/>
          <w:bCs w:val="false"/>
          <w:iCs/>
          <w:sz w:val="24"/>
          <w:szCs w:val="24"/>
          <w:lang w:val="x-none" w:eastAsia="x-none"/>
        </w:rPr>
        <w:t>3.1.В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Normal"/>
        <w:keepNext w:val="true"/>
        <w:keepLines/>
        <w:widowControl/>
        <w:numPr>
          <w:ilvl w:val="0"/>
          <w:numId w:val="0"/>
        </w:numPr>
        <w:suppressAutoHyphens w:val="false"/>
        <w:bidi w:val="0"/>
        <w:spacing w:before="120" w:after="60"/>
        <w:ind w:left="340" w:right="0" w:firstLine="340"/>
        <w:jc w:val="both"/>
        <w:outlineLvl w:val="0"/>
        <w:rPr>
          <w:rFonts w:eastAsia="Calibri"/>
          <w:iCs/>
          <w:sz w:val="24"/>
          <w:szCs w:val="24"/>
          <w:lang w:val="x-none" w:eastAsia="x-none"/>
        </w:rPr>
      </w:pPr>
      <w:r>
        <w:rPr>
          <w:rFonts w:eastAsia="Calibri"/>
          <w:iCs/>
          <w:sz w:val="24"/>
          <w:szCs w:val="24"/>
          <w:lang w:val="x-none" w:eastAsia="x-none"/>
        </w:rPr>
        <w:t>3.2. Все цены в предложении должны включать все налоги, транспортные расходы, другие обязательные платежи, стоимость всех сопутствующих работ (услуг), а также все скидки, предлагаемые участником.</w:t>
      </w:r>
    </w:p>
    <w:p>
      <w:pPr>
        <w:pStyle w:val="Normal"/>
        <w:suppressAutoHyphens w:val="true"/>
        <w:spacing w:before="120" w:after="120"/>
        <w:ind w:left="567" w:right="593" w:firstLine="142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uppressAutoHyphens w:val="true"/>
        <w:spacing w:before="120" w:after="120"/>
        <w:ind w:left="567" w:right="593" w:firstLine="142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ПРИЛОЖЕНИЯ: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58" w:leader="none"/>
          <w:tab w:val="left" w:pos="395" w:leader="none"/>
          <w:tab w:val="left" w:pos="632" w:leader="none"/>
          <w:tab w:val="left" w:pos="837" w:leader="none"/>
        </w:tabs>
        <w:suppressAutoHyphens w:val="true"/>
        <w:bidi w:val="0"/>
        <w:spacing w:lineRule="auto" w:line="240" w:before="0" w:after="0"/>
        <w:ind w:left="0" w:right="567" w:firstLine="1077"/>
        <w:jc w:val="left"/>
        <w:rPr>
          <w:sz w:val="24"/>
          <w:szCs w:val="24"/>
        </w:rPr>
      </w:pPr>
      <w:r>
        <w:rPr>
          <w:sz w:val="24"/>
          <w:szCs w:val="24"/>
        </w:rPr>
        <w:t>Приложение 1. Карта заказа шкафа учёта (комплектация 1);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0" w:after="0"/>
        <w:ind w:left="1429" w:right="593" w:hanging="36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Приложение 2. Карта заказа шкафа учёта (комплектация 2);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Приложение 3. Карта заказа шкафа учёта (комплектация 3);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0" w:after="0"/>
        <w:rPr>
          <w:rFonts w:eastAsia="Times New Roman"/>
          <w:sz w:val="24"/>
          <w:szCs w:val="24"/>
          <w:lang w:eastAsia="ru-RU"/>
        </w:rPr>
      </w:pPr>
      <w:bookmarkStart w:id="0" w:name="__DdeLink__790_3490024745"/>
      <w:r>
        <w:rPr>
          <w:rFonts w:eastAsia="Times New Roman"/>
          <w:sz w:val="24"/>
          <w:szCs w:val="24"/>
          <w:lang w:eastAsia="ru-RU"/>
        </w:rPr>
        <w:t>Приложение 4. Карта заказа шкафа учёта (комплектация 4)</w:t>
      </w:r>
      <w:bookmarkEnd w:id="0"/>
      <w:r>
        <w:rPr>
          <w:rFonts w:eastAsia="Times New Roman"/>
          <w:sz w:val="24"/>
          <w:szCs w:val="24"/>
          <w:lang w:eastAsia="ru-RU"/>
        </w:rPr>
        <w:t>;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0" w:after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Приложение 5. Карта заказа шкафа учёта (комплектация 5)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0" w:after="0"/>
        <w:ind w:left="1429" w:right="593" w:hanging="36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Приложение 6. Требования к нанесению логотипа;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0" w:after="0"/>
        <w:ind w:left="1429" w:right="593" w:hanging="360"/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20320" cy="146050"/>
                <wp:effectExtent l="0" t="0" r="0" b="0"/>
                <wp:wrapSquare wrapText="bothSides"/>
                <wp:docPr id="1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00" cy="1454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35"/>
                              <w:rPr>
                                <w:color w:val="000000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1" path="m0,0l-2147483645,0l-2147483645,-2147483646l0,-2147483646xe" stroked="f" style="position:absolute;margin-left:0pt;margin-top:0.05pt;width:1.5pt;height:11.4pt;mso-wrap-style:none;v-text-anchor:middle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35"/>
                        <w:rPr>
                          <w:color w:val="000000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eastAsia="Times New Roman"/>
          <w:sz w:val="24"/>
          <w:szCs w:val="24"/>
          <w:lang w:eastAsia="ru-RU"/>
        </w:rPr>
        <w:t>Приложение 7. Требования к нанесению QR-кода.</w:t>
      </w:r>
    </w:p>
    <w:sectPr>
      <w:headerReference w:type="default" r:id="rId2"/>
      <w:footerReference w:type="default" r:id="rId3"/>
      <w:footnotePr>
        <w:numFmt w:val="decimal"/>
        <w:numRestart w:val="eachPage"/>
      </w:footnotePr>
      <w:type w:val="nextPage"/>
      <w:pgSz w:orient="landscape" w:w="16838" w:h="11906"/>
      <w:pgMar w:left="397" w:right="397" w:header="709" w:top="766" w:footer="194" w:bottom="567" w:gutter="0"/>
      <w:pgNumType w:fmt="decimal"/>
      <w:formProt w:val="false"/>
      <w:textDirection w:val="lrTb"/>
      <w:docGrid w:type="default" w:linePitch="360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5"/>
      <w:jc w:val="both"/>
      <w:rPr>
        <w:i/>
        <w:i/>
        <w:iCs/>
        <w:color w:val="FF0000"/>
      </w:rPr>
    </w:pPr>
    <w:r>
      <w:rPr>
        <w:i/>
        <w:iCs/>
        <w:color w:val="FF0000"/>
      </w:rPr>
      <w:tab/>
    </w:r>
  </w:p>
  <w:p>
    <w:pPr>
      <w:pStyle w:val="Style35"/>
      <w:ind w:left="0" w:right="360" w:hanging="0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2"/>
        <w:widowControl w:val="false"/>
        <w:rPr/>
      </w:pPr>
      <w:r>
        <w:rPr>
          <w:rStyle w:val="Style9"/>
        </w:rPr>
        <w:footnoteRef/>
      </w:r>
      <w:r>
        <w:rPr/>
        <w:tab/>
        <w:t>Для всех пунктов требований Заказчика в которых Участник указал «соответствует» дополнительно указывается ссылка на подтверждающие документы (страница и пункт руководства по эксплуатации, паспорт-формуляр, описание типа и т.д.), подтверждающие документы включаются в состав заявки.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jc w:val="both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fals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qFormat/>
    <w:pPr>
      <w:keepNext w:val="true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Normal"/>
    <w:next w:val="Normal"/>
    <w:qFormat/>
    <w:pPr>
      <w:keepNext w:val="true"/>
      <w:widowControl/>
      <w:tabs>
        <w:tab w:val="clear" w:pos="708"/>
        <w:tab w:val="left" w:pos="1134" w:leader="none"/>
      </w:tabs>
      <w:suppressAutoHyphens w:val="true"/>
      <w:spacing w:before="240" w:after="120"/>
      <w:ind w:left="1134" w:right="0" w:hanging="567"/>
      <w:outlineLvl w:val="1"/>
    </w:pPr>
    <w:rPr>
      <w:b/>
      <w:sz w:val="28"/>
    </w:rPr>
  </w:style>
  <w:style w:type="paragraph" w:styleId="3">
    <w:name w:val="Heading 3"/>
    <w:basedOn w:val="Normal"/>
    <w:next w:val="Normal"/>
    <w:qFormat/>
    <w:pPr>
      <w:keepNext w:val="true"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Normal"/>
    <w:next w:val="Normal"/>
    <w:qFormat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>
    <w:name w:val="Default Paragraph Font"/>
    <w:qFormat/>
    <w:rPr/>
  </w:style>
  <w:style w:type="character" w:styleId="My">
    <w:name w:val="my Знак"/>
    <w:qFormat/>
    <w:rPr>
      <w:b/>
      <w:sz w:val="28"/>
      <w:szCs w:val="28"/>
      <w:lang w:val="ru-RU" w:eastAsia="ru-RU" w:bidi="ar-SA"/>
    </w:rPr>
  </w:style>
  <w:style w:type="character" w:styleId="S0">
    <w:name w:val="s0"/>
    <w:qFormat/>
    <w:rPr>
      <w:rFonts w:ascii="Times New Roman" w:hAnsi="Times New Roman" w:cs="Times New Roman"/>
      <w:b w:val="false"/>
      <w:bCs w:val="false"/>
      <w:i w:val="false"/>
      <w:iCs w:val="false"/>
      <w:strike w:val="false"/>
      <w:dstrike w:val="false"/>
      <w:color w:val="000000"/>
      <w:sz w:val="22"/>
      <w:szCs w:val="22"/>
      <w:u w:val="none"/>
      <w:effect w:val="none"/>
    </w:rPr>
  </w:style>
  <w:style w:type="character" w:styleId="Style9">
    <w:name w:val="Символ сноски"/>
    <w:qFormat/>
    <w:rPr>
      <w:vertAlign w:val="superscript"/>
    </w:rPr>
  </w:style>
  <w:style w:type="character" w:styleId="Style10">
    <w:name w:val="Привязка сноски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Style11">
    <w:name w:val="Основной текст с отступом Знак"/>
    <w:qFormat/>
    <w:rPr>
      <w:lang w:val="ru-RU" w:eastAsia="ru-RU" w:bidi="ar-SA"/>
    </w:rPr>
  </w:style>
  <w:style w:type="character" w:styleId="Style12">
    <w:name w:val="комментарий"/>
    <w:qFormat/>
    <w:rPr>
      <w:i/>
      <w:highlight w:val="yellow"/>
    </w:rPr>
  </w:style>
  <w:style w:type="character" w:styleId="11">
    <w:name w:val="Пункт Знак1"/>
    <w:qFormat/>
    <w:rPr>
      <w:sz w:val="28"/>
      <w:lang w:val="ru-RU" w:eastAsia="ru-RU" w:bidi="ar-SA"/>
    </w:rPr>
  </w:style>
  <w:style w:type="character" w:styleId="Style13">
    <w:name w:val="Интернет-ссылка"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61">
    <w:name w:val="Заголовок 6 Знак"/>
    <w:qFormat/>
    <w:rPr>
      <w:b/>
      <w:bCs/>
      <w:sz w:val="22"/>
      <w:szCs w:val="22"/>
    </w:rPr>
  </w:style>
  <w:style w:type="character" w:styleId="Style14">
    <w:name w:val="Нижний колонтитул Знак"/>
    <w:qFormat/>
    <w:rPr/>
  </w:style>
  <w:style w:type="character" w:styleId="Style15">
    <w:name w:val="Текст концевой сноски Знак"/>
    <w:basedOn w:val="DefaultParagraphFont"/>
    <w:qFormat/>
    <w:rPr/>
  </w:style>
  <w:style w:type="character" w:styleId="Style16">
    <w:name w:val="Символ концевой сноски"/>
    <w:qFormat/>
    <w:rPr>
      <w:vertAlign w:val="superscript"/>
    </w:rPr>
  </w:style>
  <w:style w:type="character" w:styleId="Style17">
    <w:name w:val="Привязка концевой сноски"/>
    <w:rPr>
      <w:vertAlign w:val="superscript"/>
    </w:rPr>
  </w:style>
  <w:style w:type="character" w:styleId="Style18">
    <w:name w:val="Текст сноски Знак"/>
    <w:qFormat/>
    <w:rPr/>
  </w:style>
  <w:style w:type="character" w:styleId="Style19">
    <w:name w:val="Абзац Знак"/>
    <w:qFormat/>
    <w:rPr>
      <w:rFonts w:cs="Arial"/>
    </w:rPr>
  </w:style>
  <w:style w:type="character" w:styleId="Style20">
    <w:name w:val="Символы концевой сноски"/>
    <w:qFormat/>
    <w:rPr/>
  </w:style>
  <w:style w:type="character" w:styleId="Hend2">
    <w:name w:val="hend2"/>
    <w:basedOn w:val="DefaultParagraphFont"/>
    <w:qFormat/>
    <w:rPr/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22">
    <w:name w:val="Body Text"/>
    <w:basedOn w:val="Normal"/>
    <w:pPr>
      <w:widowControl/>
      <w:spacing w:before="0" w:after="120"/>
    </w:pPr>
    <w:rPr/>
  </w:style>
  <w:style w:type="paragraph" w:styleId="Style23">
    <w:name w:val="List"/>
    <w:basedOn w:val="Style22"/>
    <w:pPr/>
    <w:rPr>
      <w:rFonts w:cs="Lohit Devanagari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ohit Devanagari"/>
    </w:rPr>
  </w:style>
  <w:style w:type="paragraph" w:styleId="Style26">
    <w:name w:val="Пункт Знак"/>
    <w:basedOn w:val="Normal"/>
    <w:qFormat/>
    <w:pPr>
      <w:widowControl/>
      <w:tabs>
        <w:tab w:val="clear" w:pos="708"/>
        <w:tab w:val="left" w:pos="851" w:leader="none"/>
        <w:tab w:val="left" w:pos="1134" w:leader="none"/>
      </w:tabs>
      <w:snapToGrid w:val="false"/>
      <w:spacing w:lineRule="auto" w:line="360"/>
      <w:jc w:val="both"/>
    </w:pPr>
    <w:rPr>
      <w:sz w:val="28"/>
    </w:rPr>
  </w:style>
  <w:style w:type="paragraph" w:styleId="Style27">
    <w:name w:val="Подпункт"/>
    <w:basedOn w:val="Style26"/>
    <w:qFormat/>
    <w:pPr/>
    <w:rPr/>
  </w:style>
  <w:style w:type="paragraph" w:styleId="Style28">
    <w:name w:val="Подподпункт"/>
    <w:basedOn w:val="Style27"/>
    <w:qFormat/>
    <w:pPr>
      <w:tabs>
        <w:tab w:val="left" w:pos="851" w:leader="none"/>
        <w:tab w:val="left" w:pos="1134" w:leader="none"/>
        <w:tab w:val="left" w:pos="1418" w:leader="none"/>
      </w:tabs>
      <w:snapToGrid w:val="true"/>
    </w:pPr>
    <w:rPr/>
  </w:style>
  <w:style w:type="paragraph" w:styleId="Style29">
    <w:name w:val="Подподподпункт"/>
    <w:basedOn w:val="Normal"/>
    <w:qFormat/>
    <w:pPr>
      <w:widowControl/>
      <w:tabs>
        <w:tab w:val="clear" w:pos="708"/>
        <w:tab w:val="left" w:pos="1134" w:leader="none"/>
        <w:tab w:val="left" w:pos="1701" w:leader="none"/>
      </w:tabs>
      <w:snapToGrid w:val="false"/>
      <w:spacing w:lineRule="auto" w:line="360"/>
      <w:jc w:val="both"/>
    </w:pPr>
    <w:rPr>
      <w:sz w:val="28"/>
    </w:rPr>
  </w:style>
  <w:style w:type="paragraph" w:styleId="12">
    <w:name w:val="Пункт1"/>
    <w:basedOn w:val="Normal"/>
    <w:qFormat/>
    <w:pPr>
      <w:widowControl/>
      <w:snapToGrid w:val="false"/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My1">
    <w:name w:val="my"/>
    <w:basedOn w:val="1"/>
    <w:qFormat/>
    <w:pPr>
      <w:keepLines/>
      <w:widowControl/>
      <w:suppressAutoHyphens w:val="true"/>
      <w:spacing w:before="360" w:after="120"/>
      <w:jc w:val="center"/>
    </w:pPr>
    <w:rPr>
      <w:rFonts w:ascii="Times New Roman" w:hAnsi="Times New Roman" w:cs="Times New Roman"/>
      <w:bCs w:val="false"/>
      <w:sz w:val="28"/>
      <w:szCs w:val="28"/>
    </w:rPr>
  </w:style>
  <w:style w:type="paragraph" w:styleId="13">
    <w:name w:val="Обычный1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ru-RU" w:eastAsia="ru-RU" w:bidi="ar-SA"/>
    </w:rPr>
  </w:style>
  <w:style w:type="paragraph" w:styleId="Style30">
    <w:name w:val="Пункт"/>
    <w:basedOn w:val="Style22"/>
    <w:qFormat/>
    <w:pPr>
      <w:tabs>
        <w:tab w:val="clear" w:pos="708"/>
        <w:tab w:val="left" w:pos="1985" w:leader="none"/>
      </w:tabs>
      <w:spacing w:lineRule="auto" w:line="360" w:before="0" w:after="0"/>
      <w:ind w:left="1985" w:right="0" w:hanging="851"/>
      <w:jc w:val="both"/>
    </w:pPr>
    <w:rPr>
      <w:sz w:val="28"/>
    </w:rPr>
  </w:style>
  <w:style w:type="paragraph" w:styleId="Style31">
    <w:name w:val="Пункт б/н"/>
    <w:basedOn w:val="Normal"/>
    <w:qFormat/>
    <w:pPr>
      <w:widowControl/>
      <w:tabs>
        <w:tab w:val="clear" w:pos="708"/>
        <w:tab w:val="left" w:pos="1134" w:leader="none"/>
      </w:tabs>
      <w:spacing w:lineRule="auto" w:line="360"/>
      <w:ind w:left="0" w:right="0" w:firstLine="567"/>
      <w:jc w:val="both"/>
    </w:pPr>
    <w:rPr>
      <w:sz w:val="28"/>
    </w:rPr>
  </w:style>
  <w:style w:type="paragraph" w:styleId="PlainText">
    <w:name w:val="Plain Text"/>
    <w:basedOn w:val="Normal"/>
    <w:qFormat/>
    <w:pPr>
      <w:widowControl/>
      <w:ind w:left="0" w:right="0" w:firstLine="709"/>
      <w:jc w:val="both"/>
    </w:pPr>
    <w:rPr>
      <w:rFonts w:cs="Courier New"/>
    </w:rPr>
  </w:style>
  <w:style w:type="paragraph" w:styleId="Style32">
    <w:name w:val="Footnote Text"/>
    <w:basedOn w:val="Normal"/>
    <w:pPr>
      <w:widowControl/>
      <w:ind w:left="0" w:right="0" w:firstLine="567"/>
      <w:jc w:val="both"/>
    </w:pPr>
    <w:rPr/>
  </w:style>
  <w:style w:type="paragraph" w:styleId="NormalWeb">
    <w:name w:val="Normal (Web)"/>
    <w:basedOn w:val="Normal"/>
    <w:qFormat/>
    <w:pPr>
      <w:widowControl/>
      <w:spacing w:before="0" w:after="150"/>
    </w:pPr>
    <w:rPr>
      <w:sz w:val="24"/>
      <w:szCs w:val="24"/>
    </w:rPr>
  </w:style>
  <w:style w:type="paragraph" w:styleId="21">
    <w:name w:val="Пункт_2"/>
    <w:basedOn w:val="Normal"/>
    <w:qFormat/>
    <w:pPr>
      <w:widowControl/>
      <w:tabs>
        <w:tab w:val="clear" w:pos="708"/>
        <w:tab w:val="left" w:pos="1134" w:leader="none"/>
      </w:tabs>
      <w:spacing w:lineRule="auto" w:line="360"/>
      <w:ind w:left="1134" w:right="0" w:hanging="1133"/>
      <w:jc w:val="both"/>
    </w:pPr>
    <w:rPr>
      <w:sz w:val="28"/>
    </w:rPr>
  </w:style>
  <w:style w:type="paragraph" w:styleId="31">
    <w:name w:val="Пункт_3"/>
    <w:basedOn w:val="21"/>
    <w:qFormat/>
    <w:pPr>
      <w:tabs>
        <w:tab w:val="left" w:pos="1134" w:leader="none"/>
        <w:tab w:val="left" w:pos="1694" w:leader="none"/>
      </w:tabs>
      <w:ind w:left="1694" w:right="0" w:hanging="1133"/>
    </w:pPr>
    <w:rPr/>
  </w:style>
  <w:style w:type="paragraph" w:styleId="41">
    <w:name w:val="Пункт_4"/>
    <w:basedOn w:val="31"/>
    <w:qFormat/>
    <w:pPr>
      <w:ind w:left="1134" w:right="0" w:hanging="1134"/>
    </w:pPr>
    <w:rPr/>
  </w:style>
  <w:style w:type="paragraph" w:styleId="5ABCD">
    <w:name w:val="Пункт_5_ABCD"/>
    <w:basedOn w:val="Normal"/>
    <w:qFormat/>
    <w:pPr>
      <w:widowControl/>
      <w:tabs>
        <w:tab w:val="clear" w:pos="708"/>
        <w:tab w:val="left" w:pos="1701" w:leader="none"/>
      </w:tabs>
      <w:spacing w:lineRule="auto" w:line="360"/>
      <w:ind w:left="1701" w:right="0" w:hanging="567"/>
      <w:jc w:val="both"/>
    </w:pPr>
    <w:rPr>
      <w:sz w:val="28"/>
    </w:rPr>
  </w:style>
  <w:style w:type="paragraph" w:styleId="14">
    <w:name w:val="Пункт_1"/>
    <w:basedOn w:val="Normal"/>
    <w:qFormat/>
    <w:pPr>
      <w:keepNext w:val="true"/>
      <w:widowControl/>
      <w:tabs>
        <w:tab w:val="clear" w:pos="708"/>
        <w:tab w:val="left" w:pos="568" w:leader="none"/>
      </w:tabs>
      <w:spacing w:before="480" w:after="240"/>
      <w:ind w:left="567" w:right="0" w:hanging="567"/>
      <w:jc w:val="center"/>
      <w:outlineLvl w:val="0"/>
    </w:pPr>
    <w:rPr>
      <w:rFonts w:ascii="Arial" w:hAnsi="Arial"/>
      <w:b/>
      <w:sz w:val="32"/>
      <w:szCs w:val="28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5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6">
    <w:name w:val="Body Text Indent"/>
    <w:basedOn w:val="Normal"/>
    <w:pPr>
      <w:spacing w:before="0" w:after="120"/>
      <w:ind w:left="283" w:right="0" w:hanging="0"/>
    </w:pPr>
    <w:rPr/>
  </w:style>
  <w:style w:type="paragraph" w:styleId="Annotationtext">
    <w:name w:val="annotation text"/>
    <w:basedOn w:val="Normal"/>
    <w:qFormat/>
    <w:pPr/>
    <w:rPr/>
  </w:style>
  <w:style w:type="paragraph" w:styleId="Annotationsubject">
    <w:name w:val="annotation subject"/>
    <w:basedOn w:val="Annotationtext"/>
    <w:qFormat/>
    <w:pPr>
      <w:widowControl/>
      <w:spacing w:lineRule="auto" w:line="360"/>
      <w:ind w:left="0" w:right="0" w:firstLine="567"/>
      <w:jc w:val="both"/>
    </w:pPr>
    <w:rPr>
      <w:b/>
      <w:bCs/>
    </w:rPr>
  </w:style>
  <w:style w:type="paragraph" w:styleId="32">
    <w:name w:val="заголовок 3"/>
    <w:basedOn w:val="Normal"/>
    <w:next w:val="Normal"/>
    <w:qFormat/>
    <w:pPr>
      <w:keepNext w:val="true"/>
      <w:widowControl/>
      <w:spacing w:lineRule="auto" w:line="360" w:before="120" w:after="0"/>
      <w:ind w:left="0" w:right="0" w:firstLine="720"/>
      <w:jc w:val="center"/>
      <w:outlineLvl w:val="2"/>
    </w:pPr>
    <w:rPr>
      <w:szCs w:val="24"/>
    </w:rPr>
  </w:style>
  <w:style w:type="paragraph" w:styleId="Style37">
    <w:name w:val="Обычный+ без отступа"/>
    <w:basedOn w:val="Normal"/>
    <w:qFormat/>
    <w:pPr>
      <w:widowControl/>
      <w:spacing w:lineRule="auto" w:line="360" w:before="120" w:after="0"/>
      <w:ind w:left="0" w:right="0" w:hanging="0"/>
      <w:jc w:val="both"/>
    </w:pPr>
    <w:rPr>
      <w:rFonts w:eastAsia="MS Mincho"/>
      <w:sz w:val="28"/>
      <w:szCs w:val="28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15">
    <w:name w:val="TOC 1"/>
    <w:basedOn w:val="Normal"/>
    <w:next w:val="Normal"/>
    <w:autoRedefine/>
    <w:pPr>
      <w:spacing w:before="120" w:after="0"/>
    </w:pPr>
    <w:rPr>
      <w:b/>
      <w:bCs/>
      <w:i/>
      <w:iCs/>
      <w:sz w:val="24"/>
      <w:szCs w:val="28"/>
    </w:rPr>
  </w:style>
  <w:style w:type="paragraph" w:styleId="22">
    <w:name w:val="TOC 2"/>
    <w:basedOn w:val="Normal"/>
    <w:next w:val="Normal"/>
    <w:autoRedefine/>
    <w:pPr>
      <w:spacing w:before="120" w:after="0"/>
      <w:ind w:left="200" w:right="0" w:hanging="0"/>
    </w:pPr>
    <w:rPr>
      <w:b/>
      <w:bCs/>
      <w:sz w:val="22"/>
      <w:szCs w:val="26"/>
    </w:rPr>
  </w:style>
  <w:style w:type="paragraph" w:styleId="33">
    <w:name w:val="TOC 3"/>
    <w:basedOn w:val="Normal"/>
    <w:next w:val="Normal"/>
    <w:autoRedefine/>
    <w:pPr>
      <w:ind w:left="400" w:right="0" w:hanging="0"/>
    </w:pPr>
    <w:rPr>
      <w:szCs w:val="24"/>
    </w:rPr>
  </w:style>
  <w:style w:type="paragraph" w:styleId="42">
    <w:name w:val="TOC 4"/>
    <w:basedOn w:val="Normal"/>
    <w:next w:val="Normal"/>
    <w:autoRedefine/>
    <w:pPr>
      <w:ind w:left="600" w:right="0" w:hanging="0"/>
    </w:pPr>
    <w:rPr>
      <w:szCs w:val="24"/>
    </w:rPr>
  </w:style>
  <w:style w:type="paragraph" w:styleId="5">
    <w:name w:val="TOC 5"/>
    <w:basedOn w:val="Normal"/>
    <w:next w:val="Normal"/>
    <w:autoRedefine/>
    <w:pPr>
      <w:ind w:left="800" w:right="0" w:hanging="0"/>
    </w:pPr>
    <w:rPr>
      <w:szCs w:val="24"/>
    </w:rPr>
  </w:style>
  <w:style w:type="paragraph" w:styleId="62">
    <w:name w:val="TOC 6"/>
    <w:basedOn w:val="Normal"/>
    <w:next w:val="Normal"/>
    <w:autoRedefine/>
    <w:pPr>
      <w:ind w:left="1000" w:right="0" w:hanging="0"/>
    </w:pPr>
    <w:rPr>
      <w:szCs w:val="24"/>
    </w:rPr>
  </w:style>
  <w:style w:type="paragraph" w:styleId="7">
    <w:name w:val="TOC 7"/>
    <w:basedOn w:val="Normal"/>
    <w:next w:val="Normal"/>
    <w:autoRedefine/>
    <w:pPr>
      <w:ind w:left="1200" w:right="0" w:hanging="0"/>
    </w:pPr>
    <w:rPr>
      <w:szCs w:val="24"/>
    </w:rPr>
  </w:style>
  <w:style w:type="paragraph" w:styleId="8">
    <w:name w:val="TOC 8"/>
    <w:basedOn w:val="Normal"/>
    <w:next w:val="Normal"/>
    <w:autoRedefine/>
    <w:pPr>
      <w:ind w:left="1400" w:right="0" w:hanging="0"/>
    </w:pPr>
    <w:rPr>
      <w:szCs w:val="24"/>
    </w:rPr>
  </w:style>
  <w:style w:type="paragraph" w:styleId="9">
    <w:name w:val="TOC 9"/>
    <w:basedOn w:val="Normal"/>
    <w:next w:val="Normal"/>
    <w:autoRedefine/>
    <w:pPr>
      <w:ind w:left="1600" w:right="0" w:hanging="0"/>
    </w:pPr>
    <w:rPr>
      <w:szCs w:val="24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ListNumber">
    <w:name w:val="List Number"/>
    <w:basedOn w:val="Normal"/>
    <w:qFormat/>
    <w:pPr>
      <w:widowControl/>
      <w:spacing w:lineRule="auto" w:line="360" w:before="60" w:after="0"/>
      <w:jc w:val="both"/>
    </w:pPr>
    <w:rPr>
      <w:sz w:val="28"/>
      <w:szCs w:val="24"/>
    </w:rPr>
  </w:style>
  <w:style w:type="paragraph" w:styleId="ListParagraph">
    <w:name w:val="List Paragraph"/>
    <w:basedOn w:val="Normal"/>
    <w:qFormat/>
    <w:pPr>
      <w:widowControl/>
      <w:spacing w:lineRule="auto" w:line="276" w:before="0" w:after="200"/>
      <w:ind w:left="720" w:right="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HEADERTEXT">
    <w:name w:val=".HEADERTEXT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2B4279"/>
      <w:kern w:val="0"/>
      <w:sz w:val="24"/>
      <w:szCs w:val="24"/>
      <w:lang w:val="ru-RU" w:eastAsia="ru-RU" w:bidi="ar-SA"/>
    </w:rPr>
  </w:style>
  <w:style w:type="paragraph" w:styleId="EndnoteSymbol">
    <w:name w:val="Endnote Symbol"/>
    <w:basedOn w:val="Normal"/>
    <w:qFormat/>
    <w:pPr/>
    <w:rPr/>
  </w:style>
  <w:style w:type="paragraph" w:styleId="Style38">
    <w:name w:val="Абзац"/>
    <w:basedOn w:val="Style22"/>
    <w:qFormat/>
    <w:pPr>
      <w:widowControl w:val="false"/>
      <w:spacing w:lineRule="auto" w:line="360" w:before="0" w:after="20"/>
      <w:ind w:left="0" w:right="0" w:firstLine="624"/>
      <w:contextualSpacing/>
      <w:jc w:val="both"/>
    </w:pPr>
    <w:rPr>
      <w:rFonts w:cs="Arial"/>
    </w:rPr>
  </w:style>
  <w:style w:type="paragraph" w:styleId="Style39">
    <w:name w:val="Раздел положения"/>
    <w:basedOn w:val="Normal"/>
    <w:autoRedefine/>
    <w:qFormat/>
    <w:pPr>
      <w:widowControl/>
      <w:spacing w:before="80" w:after="80"/>
      <w:jc w:val="center"/>
    </w:pPr>
    <w:rPr>
      <w:b/>
      <w:sz w:val="32"/>
      <w:szCs w:val="32"/>
    </w:rPr>
  </w:style>
  <w:style w:type="paragraph" w:styleId="Style40">
    <w:name w:val="Подраздел раздела положения"/>
    <w:basedOn w:val="Normal"/>
    <w:autoRedefine/>
    <w:qFormat/>
    <w:pPr>
      <w:widowControl/>
      <w:spacing w:before="80" w:after="80"/>
      <w:jc w:val="both"/>
    </w:pPr>
    <w:rPr>
      <w:sz w:val="28"/>
      <w:szCs w:val="28"/>
    </w:rPr>
  </w:style>
  <w:style w:type="paragraph" w:styleId="Style41">
    <w:name w:val="Содержимое врезки"/>
    <w:basedOn w:val="Normal"/>
    <w:qFormat/>
    <w:pPr/>
    <w:rPr/>
  </w:style>
  <w:style w:type="paragraph" w:styleId="Style42">
    <w:name w:val="Содержимое таблицы"/>
    <w:basedOn w:val="Normal"/>
    <w:qFormat/>
    <w:pPr>
      <w:widowControl w:val="false"/>
      <w:suppressLineNumbers/>
    </w:pPr>
    <w:rPr/>
  </w:style>
  <w:style w:type="paragraph" w:styleId="Style43">
    <w:name w:val="Заголовок таблицы"/>
    <w:basedOn w:val="Style42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Application>LibreOffice/7.1.8.1$Linux_X86_64 LibreOffice_project/10$Build-1</Application>
  <AppVersion>15.0000</AppVersion>
  <Pages>4</Pages>
  <Words>770</Words>
  <Characters>5494</Characters>
  <CharactersWithSpaces>6144</CharactersWithSpaces>
  <Paragraphs>122</Paragraphs>
  <Company>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2023-07-20T02:27:00Z</dcterms:created>
  <dc:creator>okzt</dc:creator>
  <dc:description/>
  <dc:language>ru-RU</dc:language>
  <cp:lastModifiedBy/>
  <cp:lastPrinted>2023-01-17T04:52:00Z</cp:lastPrinted>
  <dcterms:modified xsi:type="dcterms:W3CDTF">2026-09-10T13:35:46Z</dcterms:modified>
  <cp:revision>64</cp:revision>
  <dc:subject/>
  <dc:title>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